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玉林市</w:t>
      </w:r>
      <w:r>
        <w:rPr>
          <w:rFonts w:hint="eastAsia" w:ascii="黑体" w:hAnsi="黑体" w:eastAsia="黑体"/>
          <w:sz w:val="28"/>
          <w:szCs w:val="28"/>
          <w:lang w:eastAsia="zh-CN"/>
        </w:rPr>
        <w:t>农业农村局直属事业单位</w:t>
      </w:r>
      <w:r>
        <w:rPr>
          <w:rFonts w:hint="eastAsia" w:ascii="黑体" w:hAnsi="黑体" w:eastAsia="黑体"/>
          <w:sz w:val="28"/>
          <w:szCs w:val="28"/>
        </w:rPr>
        <w:t>公开招聘急需紧缺人才体检人员名单</w:t>
      </w:r>
    </w:p>
    <w:p>
      <w:pPr>
        <w:rPr>
          <w:rFonts w:hint="eastAsia"/>
        </w:rPr>
      </w:pPr>
    </w:p>
    <w:tbl>
      <w:tblPr>
        <w:tblStyle w:val="2"/>
        <w:tblW w:w="5777" w:type="pct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643"/>
        <w:gridCol w:w="1178"/>
        <w:gridCol w:w="720"/>
        <w:gridCol w:w="1068"/>
        <w:gridCol w:w="1289"/>
        <w:gridCol w:w="735"/>
        <w:gridCol w:w="766"/>
        <w:gridCol w:w="720"/>
        <w:gridCol w:w="944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面试成绩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总成绩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玉林市农业科学院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庞芳婷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2001.05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76.4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150.4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玉林市动物疫病预防控制中心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蒋子韬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70.2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136.2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玉林市经济作物工作站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陈志宁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2000.12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玉林市农业生态与资源保护站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玉林市农村能源技术推广站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  童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MzMyZWY0ZDcxNmVmZWEzODM5OTY4OGI1ZDYwMGYifQ=="/>
  </w:docVars>
  <w:rsids>
    <w:rsidRoot w:val="687F732A"/>
    <w:rsid w:val="4F8971AD"/>
    <w:rsid w:val="687F732A"/>
    <w:rsid w:val="BBEDD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231</Characters>
  <Lines>0</Lines>
  <Paragraphs>0</Paragraphs>
  <TotalTime>7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2023-02-22T18:06:00Z</dcterms:created>
  <dc:creator>李宇玄</dc:creator>
  <cp:lastModifiedBy>lenovo5</cp:lastModifiedBy>
  <dcterms:modified xsi:type="dcterms:W3CDTF">2023-02-24T01:34:55Z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F83ECF6771FD4438BF0739C2903ACCAB</vt:lpwstr>
  </property>
</Properties>
</file>